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7EA92" w14:textId="77777777" w:rsidR="00946A87" w:rsidRPr="00946A87" w:rsidRDefault="00946A87" w:rsidP="00946A87">
      <w:pPr>
        <w:spacing w:before="117" w:after="117" w:line="336" w:lineRule="atLeast"/>
        <w:rPr>
          <w:rFonts w:ascii="ABC Diatype Rounded Heavy" w:hAnsi="ABC Diatype Rounded Heavy" w:cs="Times"/>
          <w:color w:val="000000"/>
          <w:sz w:val="42"/>
          <w:szCs w:val="42"/>
        </w:rPr>
      </w:pPr>
      <w:r w:rsidRPr="00946A87">
        <w:rPr>
          <w:rFonts w:ascii="ABC Diatype Rounded Heavy" w:hAnsi="ABC Diatype Rounded Heavy" w:cs="Times"/>
          <w:color w:val="000000"/>
          <w:sz w:val="42"/>
          <w:szCs w:val="42"/>
        </w:rPr>
        <w:t xml:space="preserve">The </w:t>
      </w:r>
      <w:proofErr w:type="spellStart"/>
      <w:r w:rsidRPr="00946A87">
        <w:rPr>
          <w:rFonts w:ascii="ABC Diatype Rounded Heavy" w:hAnsi="ABC Diatype Rounded Heavy" w:cs="Times"/>
          <w:color w:val="000000"/>
          <w:sz w:val="42"/>
          <w:szCs w:val="42"/>
        </w:rPr>
        <w:t>Getdown</w:t>
      </w:r>
      <w:proofErr w:type="spellEnd"/>
    </w:p>
    <w:p w14:paraId="0AB1518B" w14:textId="643CD5F2" w:rsidR="00992989" w:rsidRPr="00117019" w:rsidRDefault="000E3D35" w:rsidP="000E3D35">
      <w:pPr>
        <w:spacing w:before="117" w:after="117" w:line="336" w:lineRule="atLeast"/>
        <w:jc w:val="both"/>
        <w:rPr>
          <w:rFonts w:ascii="ABC Diatype Rounded" w:hAnsi="ABC Diatype Rounded" w:cs="Times"/>
          <w:color w:val="000000"/>
          <w:sz w:val="20"/>
          <w:szCs w:val="20"/>
        </w:rPr>
      </w:pPr>
      <w:r w:rsidRPr="000E3D35">
        <w:rPr>
          <w:rFonts w:ascii="ABC Diatype Rounded" w:hAnsi="ABC Diatype Rounded" w:cs="Times"/>
          <w:color w:val="000000"/>
          <w:sz w:val="20"/>
          <w:szCs w:val="20"/>
        </w:rPr>
        <w:t xml:space="preserve">Claviers percussifs et tambours chantants, le groove caribéen de The </w:t>
      </w:r>
      <w:proofErr w:type="spellStart"/>
      <w:r w:rsidRPr="000E3D35">
        <w:rPr>
          <w:rFonts w:ascii="ABC Diatype Rounded" w:hAnsi="ABC Diatype Rounded" w:cs="Times"/>
          <w:color w:val="000000"/>
          <w:sz w:val="20"/>
          <w:szCs w:val="20"/>
        </w:rPr>
        <w:t>Getdown</w:t>
      </w:r>
      <w:proofErr w:type="spellEnd"/>
      <w:r w:rsidRPr="000E3D35">
        <w:rPr>
          <w:rFonts w:ascii="ABC Diatype Rounded" w:hAnsi="ABC Diatype Rounded" w:cs="Times"/>
          <w:color w:val="000000"/>
          <w:sz w:val="20"/>
          <w:szCs w:val="20"/>
        </w:rPr>
        <w:t xml:space="preserve"> est contagieux. Né sur scène, ce projet collectif tire son nom du vocabulaire des musiciens et musiciennes new-yorkais. Il désigne ce moment suspendu, en plein concert, où l’énergie atteint son </w:t>
      </w:r>
      <w:r w:rsidRPr="009D0EE6">
        <w:rPr>
          <w:rFonts w:ascii="ABC Diatype Rounded" w:hAnsi="ABC Diatype Rounded" w:cs="Times"/>
          <w:i/>
          <w:iCs/>
          <w:color w:val="000000"/>
          <w:sz w:val="20"/>
          <w:szCs w:val="20"/>
        </w:rPr>
        <w:t>climax</w:t>
      </w:r>
      <w:r w:rsidRPr="000E3D35">
        <w:rPr>
          <w:rFonts w:ascii="ABC Diatype Rounded" w:hAnsi="ABC Diatype Rounded" w:cs="Times"/>
          <w:color w:val="000000"/>
          <w:sz w:val="20"/>
          <w:szCs w:val="20"/>
        </w:rPr>
        <w:t xml:space="preserve"> : la musique s’emballe, la ferveur s’installe, et la scène — comme le public — s’embrase dans un plaisir partagé, irrésistible. Et pour cause, c’est là que The </w:t>
      </w:r>
      <w:proofErr w:type="spellStart"/>
      <w:r w:rsidRPr="000E3D35">
        <w:rPr>
          <w:rFonts w:ascii="ABC Diatype Rounded" w:hAnsi="ABC Diatype Rounded" w:cs="Times"/>
          <w:color w:val="000000"/>
          <w:sz w:val="20"/>
          <w:szCs w:val="20"/>
        </w:rPr>
        <w:t>Getdown</w:t>
      </w:r>
      <w:proofErr w:type="spellEnd"/>
      <w:r w:rsidRPr="000E3D35">
        <w:rPr>
          <w:rFonts w:ascii="ABC Diatype Rounded" w:hAnsi="ABC Diatype Rounded" w:cs="Times"/>
          <w:color w:val="000000"/>
          <w:sz w:val="20"/>
          <w:szCs w:val="20"/>
        </w:rPr>
        <w:t xml:space="preserve"> est né : sur scène, lors d’une carte blanche offerte à Laurent </w:t>
      </w:r>
      <w:proofErr w:type="spellStart"/>
      <w:r w:rsidRPr="000E3D35">
        <w:rPr>
          <w:rFonts w:ascii="ABC Diatype Rounded" w:hAnsi="ABC Diatype Rounded" w:cs="Times"/>
          <w:color w:val="000000"/>
          <w:sz w:val="20"/>
          <w:szCs w:val="20"/>
        </w:rPr>
        <w:t>Coulondre</w:t>
      </w:r>
      <w:proofErr w:type="spellEnd"/>
      <w:r w:rsidRPr="000E3D35">
        <w:rPr>
          <w:rFonts w:ascii="ABC Diatype Rounded" w:hAnsi="ABC Diatype Rounded" w:cs="Times"/>
          <w:color w:val="000000"/>
          <w:sz w:val="20"/>
          <w:szCs w:val="20"/>
        </w:rPr>
        <w:t xml:space="preserve"> dans un club parisien. Derrière son orgue Hammond, le Nîmois a invité deux complices de longue date, le batteur Arnaud Dolmen et le pianiste Grégory Privat autour de leur langage commun : l’héritage de Michel Petrucciani et la musique caribéenne, des Antilles françaises à Cuba. Après un premier disque en trio né dans la foulée, l’aventure prend une nouvelle dimension. Ce collectif à géométrie variable devient sur la scène de Jazz à Vienne un </w:t>
      </w:r>
      <w:proofErr w:type="spellStart"/>
      <w:r w:rsidRPr="000E3D35">
        <w:rPr>
          <w:rFonts w:ascii="ABC Diatype Rounded" w:hAnsi="ABC Diatype Rounded" w:cs="Times"/>
          <w:color w:val="000000"/>
          <w:sz w:val="20"/>
          <w:szCs w:val="20"/>
        </w:rPr>
        <w:t>septet</w:t>
      </w:r>
      <w:proofErr w:type="spellEnd"/>
      <w:r w:rsidRPr="000E3D35">
        <w:rPr>
          <w:rFonts w:ascii="ABC Diatype Rounded" w:hAnsi="ABC Diatype Rounded" w:cs="Times"/>
          <w:color w:val="000000"/>
          <w:sz w:val="20"/>
          <w:szCs w:val="20"/>
        </w:rPr>
        <w:t xml:space="preserve"> à l’énergie débordante avec Rolando Luna, pianiste cubain parmi les plus fougueux de sa génération, et Mario Canonge, l’un des pianistes les plus talentueux des Antilles. Un orgue, deux pianos, une batterie, puis viennent les rejoindre le saxophoniste </w:t>
      </w:r>
      <w:proofErr w:type="spellStart"/>
      <w:r w:rsidRPr="000E3D35">
        <w:rPr>
          <w:rFonts w:ascii="ABC Diatype Rounded" w:hAnsi="ABC Diatype Rounded" w:cs="Times"/>
          <w:color w:val="000000"/>
          <w:sz w:val="20"/>
          <w:szCs w:val="20"/>
        </w:rPr>
        <w:t>Ferdi</w:t>
      </w:r>
      <w:proofErr w:type="spellEnd"/>
      <w:r w:rsidRPr="000E3D35">
        <w:rPr>
          <w:rFonts w:ascii="ABC Diatype Rounded" w:hAnsi="ABC Diatype Rounded" w:cs="Times"/>
          <w:color w:val="000000"/>
          <w:sz w:val="20"/>
          <w:szCs w:val="20"/>
        </w:rPr>
        <w:t xml:space="preserve"> et le trompettiste cubain </w:t>
      </w:r>
      <w:proofErr w:type="spellStart"/>
      <w:r w:rsidRPr="000E3D35">
        <w:rPr>
          <w:rFonts w:ascii="ABC Diatype Rounded" w:hAnsi="ABC Diatype Rounded" w:cs="Times"/>
          <w:color w:val="000000"/>
          <w:sz w:val="20"/>
          <w:szCs w:val="20"/>
        </w:rPr>
        <w:t>Yasek</w:t>
      </w:r>
      <w:proofErr w:type="spellEnd"/>
      <w:r w:rsidRPr="000E3D35">
        <w:rPr>
          <w:rFonts w:ascii="ABC Diatype Rounded" w:hAnsi="ABC Diatype Rounded" w:cs="Times"/>
          <w:color w:val="000000"/>
          <w:sz w:val="20"/>
          <w:szCs w:val="20"/>
        </w:rPr>
        <w:t xml:space="preserve"> </w:t>
      </w:r>
      <w:proofErr w:type="spellStart"/>
      <w:r w:rsidRPr="000E3D35">
        <w:rPr>
          <w:rFonts w:ascii="ABC Diatype Rounded" w:hAnsi="ABC Diatype Rounded" w:cs="Times"/>
          <w:color w:val="000000"/>
          <w:sz w:val="20"/>
          <w:szCs w:val="20"/>
        </w:rPr>
        <w:t>Manzano</w:t>
      </w:r>
      <w:proofErr w:type="spellEnd"/>
      <w:r w:rsidRPr="000E3D35">
        <w:rPr>
          <w:rFonts w:ascii="ABC Diatype Rounded" w:hAnsi="ABC Diatype Rounded" w:cs="Times"/>
          <w:color w:val="000000"/>
          <w:sz w:val="20"/>
          <w:szCs w:val="20"/>
        </w:rPr>
        <w:t xml:space="preserve"> ainsi que la flûtiste et chanteuse cubaine </w:t>
      </w:r>
      <w:proofErr w:type="spellStart"/>
      <w:r w:rsidRPr="000E3D35">
        <w:rPr>
          <w:rFonts w:ascii="ABC Diatype Rounded" w:hAnsi="ABC Diatype Rounded" w:cs="Times"/>
          <w:color w:val="000000"/>
          <w:sz w:val="20"/>
          <w:szCs w:val="20"/>
        </w:rPr>
        <w:t>Melodie</w:t>
      </w:r>
      <w:proofErr w:type="spellEnd"/>
      <w:r w:rsidRPr="000E3D35">
        <w:rPr>
          <w:rFonts w:ascii="ABC Diatype Rounded" w:hAnsi="ABC Diatype Rounded" w:cs="Times"/>
          <w:color w:val="000000"/>
          <w:sz w:val="20"/>
          <w:szCs w:val="20"/>
        </w:rPr>
        <w:t xml:space="preserve"> Spartacus. The </w:t>
      </w:r>
      <w:proofErr w:type="spellStart"/>
      <w:r w:rsidRPr="000E3D35">
        <w:rPr>
          <w:rFonts w:ascii="ABC Diatype Rounded" w:hAnsi="ABC Diatype Rounded" w:cs="Times"/>
          <w:color w:val="000000"/>
          <w:sz w:val="20"/>
          <w:szCs w:val="20"/>
        </w:rPr>
        <w:t>Getdown</w:t>
      </w:r>
      <w:proofErr w:type="spellEnd"/>
      <w:r w:rsidRPr="000E3D35">
        <w:rPr>
          <w:rFonts w:ascii="ABC Diatype Rounded" w:hAnsi="ABC Diatype Rounded" w:cs="Times"/>
          <w:color w:val="000000"/>
          <w:sz w:val="20"/>
          <w:szCs w:val="20"/>
        </w:rPr>
        <w:t xml:space="preserve"> est une formation singulière, la réunion de sept instrumentistes qui partagent le goût de la scène, de l’amitié et de la fête.</w:t>
      </w:r>
    </w:p>
    <w:sectPr w:rsidR="00992989" w:rsidRPr="00117019" w:rsidSect="00946A8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0059" w14:textId="77777777" w:rsidR="00B135BE" w:rsidRDefault="00B135BE" w:rsidP="00B135BE">
      <w:r>
        <w:separator/>
      </w:r>
    </w:p>
  </w:endnote>
  <w:endnote w:type="continuationSeparator" w:id="0">
    <w:p w14:paraId="5DBC5EF7" w14:textId="77777777" w:rsidR="00B135BE" w:rsidRDefault="00B135BE" w:rsidP="00B1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4BBCD" w14:textId="77777777" w:rsidR="00B135BE" w:rsidRDefault="00B135BE" w:rsidP="00B135BE">
      <w:r>
        <w:separator/>
      </w:r>
    </w:p>
  </w:footnote>
  <w:footnote w:type="continuationSeparator" w:id="0">
    <w:p w14:paraId="238FB9FB" w14:textId="77777777" w:rsidR="00B135BE" w:rsidRDefault="00B135BE" w:rsidP="00B135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348"/>
    <w:rsid w:val="000E3D35"/>
    <w:rsid w:val="00117019"/>
    <w:rsid w:val="00373693"/>
    <w:rsid w:val="00616348"/>
    <w:rsid w:val="00946A87"/>
    <w:rsid w:val="00992989"/>
    <w:rsid w:val="009B0587"/>
    <w:rsid w:val="009D0EE6"/>
    <w:rsid w:val="00A731D7"/>
    <w:rsid w:val="00A80CAC"/>
    <w:rsid w:val="00AF37E3"/>
    <w:rsid w:val="00B135BE"/>
    <w:rsid w:val="00C73028"/>
    <w:rsid w:val="00DA49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7A781"/>
  <w15:chartTrackingRefBased/>
  <w15:docId w15:val="{24181FEB-87E9-433B-A2BE-19CD39AC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348"/>
    <w:pPr>
      <w:spacing w:after="0" w:line="240" w:lineRule="auto"/>
    </w:pPr>
    <w:rPr>
      <w:rFonts w:ascii="Calibri" w:hAnsi="Calibri" w:cs="Calibri"/>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135BE"/>
    <w:pPr>
      <w:tabs>
        <w:tab w:val="center" w:pos="4536"/>
        <w:tab w:val="right" w:pos="9072"/>
      </w:tabs>
    </w:pPr>
  </w:style>
  <w:style w:type="character" w:customStyle="1" w:styleId="En-tteCar">
    <w:name w:val="En-tête Car"/>
    <w:basedOn w:val="Policepardfaut"/>
    <w:link w:val="En-tte"/>
    <w:uiPriority w:val="99"/>
    <w:rsid w:val="00B135BE"/>
    <w:rPr>
      <w:rFonts w:ascii="Calibri" w:hAnsi="Calibri" w:cs="Calibri"/>
      <w:lang w:eastAsia="fr-FR"/>
    </w:rPr>
  </w:style>
  <w:style w:type="paragraph" w:styleId="Pieddepage">
    <w:name w:val="footer"/>
    <w:basedOn w:val="Normal"/>
    <w:link w:val="PieddepageCar"/>
    <w:uiPriority w:val="99"/>
    <w:unhideWhenUsed/>
    <w:rsid w:val="00B135BE"/>
    <w:pPr>
      <w:tabs>
        <w:tab w:val="center" w:pos="4536"/>
        <w:tab w:val="right" w:pos="9072"/>
      </w:tabs>
    </w:pPr>
  </w:style>
  <w:style w:type="character" w:customStyle="1" w:styleId="PieddepageCar">
    <w:name w:val="Pied de page Car"/>
    <w:basedOn w:val="Policepardfaut"/>
    <w:link w:val="Pieddepage"/>
    <w:uiPriority w:val="99"/>
    <w:rsid w:val="00B135BE"/>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27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228</Words>
  <Characters>1255</Characters>
  <Application>Microsoft Office Word</Application>
  <DocSecurity>0</DocSecurity>
  <Lines>10</Lines>
  <Paragraphs>2</Paragraphs>
  <ScaleCrop>false</ScaleCrop>
  <Company>Cybele Production</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13</cp:revision>
  <dcterms:created xsi:type="dcterms:W3CDTF">2026-01-26T07:46:00Z</dcterms:created>
  <dcterms:modified xsi:type="dcterms:W3CDTF">2026-02-25T11:26:00Z</dcterms:modified>
</cp:coreProperties>
</file>